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RAG 1985 — Allgemeines</w:t>
      </w:r>
    </w:p>
    <w:p>
      <w:r>
        <w:rPr>
          <w:color w:val="555555"/>
          <w:sz w:val="18"/>
        </w:rPr>
        <w:t xml:space="preserve">Rentenanpassungsgesetz 1985 (Artikel 1 des Gesetzes über die Anpassung der Renten der gesetzlichen Rentenversicherung und der Geldleistungen der gesetzlichen Unfallversicherung im Jahre 1985)</w:t>
      </w:r>
    </w:p>
    <w:p>
      <w:r>
        <w:rPr>
          <w:color w:val="555555"/>
          <w:sz w:val="18"/>
        </w:rPr>
        <w:t xml:space="preserve">Stand: 10.06.2019 (konsolidierte Textfassung, kein amtliches Inkrafttretensdatum)</w:t>
      </w:r>
    </w:p>
    <w:p>
      <w:r>
        <w:t xml:space="preserve">(1) Auf die angepaßten Renten sind die allgemeinen Vorschriften über das Zusammentreffen und Ruhen von Renten anzuwenden. Dabei sind für die in § 2 Abs. 2 genannten Renten die Grenzbeträge zugrunde zu legen, die auch für die nach § 2 Abs. 1 anzupassenden Renten maßgebend sind.</w:t>
      </w:r>
    </w:p>
    <w:p>
      <w:r>
        <w:t xml:space="preserve">(2) Ergibt allein die Anpassung der Rente nicht einen höheren als den bisherigen Betrag, ist dieser weiterzuleisten. Ergibt die Anpassung der Rente in Verbindung mit der Herabsetzung des Zuschusses zu den Aufwendungen für die Krankenversicherung einen niedrigeren als den bisherigen Betrag, ist dieser weiterzuleisten; der Auffüllbetrag gilt als Zuschuß zu den Aufwendungen für die Krankenversicherung.</w:t>
      </w:r>
    </w:p>
    <w:p>
      <w:r>
        <w:t xml:space="preserve">(3) Bei Anwendung der Vorschriften dieses Gesetzes sind Abrundungen zulässig.</w:t>
      </w:r>
    </w:p>
    <w:p>
      <w:r>
        <w:rPr>
          <w:color w:val="555555"/>
          <w:sz w:val="17"/>
        </w:rPr>
        <w:t xml:space="preserve">Zitiervorschlag: § 4 RAG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https://recht.nulegal.eu/gesetze/RAG%201985/4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