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1,11 und der Leistungszuschlag der knappschaftlichen Rentenversicherung und der nach § 75 Abs. 1 Satz 2 des Reichsknappschaftsgesetzes zu belassende Betrag mit 1,118 vervielfältigt und der Kinderzuschuß für jedes Kind nach der allgemeinen Bemessungsgrundlage des Jahres 1976 berechnet würde; Abweichungen infolge Abrundungen sind zulässig. Die Steigerungsbeträge aus Beiträgen der Höherversicherung bleiben unberührt. § 2 Abs. 1 Satz 2 findet Anwendung.</w:t>
      </w:r>
    </w:p>
    <w:p>
      <w:r>
        <w:t xml:space="preserve">(2) Renten nach Absatz 1, die mit einer Rente aus der gesetzlichen Unfallversicherung zusammentreffen und auf die die §§ 1278 und 1279 der Reichsversicherungsordnung, §§ 55 und 56 des Angestelltenversicherungsgesetzes oder §§ 75 und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würden.</w:t>
      </w:r>
    </w:p>
    <w:p>
      <w:r>
        <w:rPr>
          <w:color w:val="555555"/>
          <w:sz w:val="17"/>
        </w:rPr>
        <w:t xml:space="preserve">Zitiervorschlag: § 4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