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treten in Kraft: § 25 mit Wirkung vom 4. August 1974, § 15 Nr. 4 mit Wirkung vom 1. Oktober 1974, §§ 18, 19 Nr. 1, §§ 20 und 21, §§ 24 und 29 mit Wirkung vom 1. Dezember 1974, § 15 Nr. 5 bis 7 mit Wirkung vom 1. Januar 1976, § 15 Nr. 2, 3, 10 und 11, § 16 Nr. 2 und 3, § 17 Nr. 2 und 3, § 23 Nr. 1 und § 28 am 1. Juli 1976, § 15 Nr. 1 und § 23 Nr. 2 am 1. Januar 1977, die übrigen Vorschriften am Tag nach der Verkündung.</w:t>
      </w:r>
    </w:p>
    <w:p>
      <w:r>
        <w:t xml:space="preserve">(2) Soweit auf Grund des § 29 Leistungen vor dem 1. Dezember 1974 beginnen, gelten die durch dieses Gesetz vorgenommenen Änderungen auch für die Zeit vor dem 1. Dezember 1974.</w:t>
      </w:r>
    </w:p>
    <w:p>
      <w:r>
        <w:rPr>
          <w:color w:val="555555"/>
          <w:sz w:val="17"/>
        </w:rPr>
        <w:t xml:space="preserve">Zitiervorschlag: § 32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