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RAG 19</w:t>
      </w:r>
    </w:p>
    <w:p>
      <w:r>
        <w:rPr>
          <w:color w:val="555555"/>
          <w:sz w:val="18"/>
        </w:rPr>
        <w:t xml:space="preserve">Neunzehntes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den §§ 2 und 3 anzupassen sind, Renten mit Leistungen oder Leistungsanteilen aus der knappschaftlichen Rentenversicherung, Renten nach Artikel 2 § 42 des Arbeiterrentenversicherungs-Neuregelungsgesetzes und Artikel 2 § 41 des Angestelltenversicherungs-Neuregelungsgesetzes und die in § 2 Abs. 2 genannten Renten, die mit einer Rente aus der gesetzlichen Unfallversicherung zusammentreffen, dürfen nach Anwendung der §§ 1278 und 1279 der Reichsversicherungsordnung, §§ 55 und 56 des Angestelltenversicherungsgesetzes und §§ 75 und 76 des Reichsknappschaftsgesetzes zusammen mit der Rente aus der Unfallversicherung den Betrag nicht unterschreiten, der als Summe dieser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aus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 13 RAG 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