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und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3,859 vervielfältigt und der Kinderzuschuß für jedes Kind nach der allgemeinen Bemessungsgrundlage für das Jahr 1975 berechnet würde; Abweichungen infolge Abrundungen sind zulässig. § 2 Abs. 1 Satz 2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2.065,00    1.239,00</w:t>
      </w:r>
    </w:p>
    <w:p>
      <w:r>
        <w:rPr>
          <w:rFonts w:ascii="Courier New" w:hAnsi="Courier New"/>
          <w:sz w:val="17"/>
        </w:rPr>
        <w:t xml:space="preserve">49    2.023,70    1.214,30</w:t>
      </w:r>
    </w:p>
    <w:p>
      <w:r>
        <w:rPr>
          <w:rFonts w:ascii="Courier New" w:hAnsi="Courier New"/>
          <w:sz w:val="17"/>
        </w:rPr>
        <w:t xml:space="preserve">48    1.982,40    1.189,50</w:t>
      </w:r>
    </w:p>
    <w:p>
      <w:r>
        <w:rPr>
          <w:rFonts w:ascii="Courier New" w:hAnsi="Courier New"/>
          <w:sz w:val="17"/>
        </w:rPr>
        <w:t xml:space="preserve">47    1.941,10    1.164,70</w:t>
      </w:r>
    </w:p>
    <w:p>
      <w:r>
        <w:rPr>
          <w:rFonts w:ascii="Courier New" w:hAnsi="Courier New"/>
          <w:sz w:val="17"/>
        </w:rPr>
        <w:t xml:space="preserve">46    1.899,80    1.139,90</w:t>
      </w:r>
    </w:p>
    <w:p>
      <w:r>
        <w:rPr>
          <w:rFonts w:ascii="Courier New" w:hAnsi="Courier New"/>
          <w:sz w:val="17"/>
        </w:rPr>
        <w:t xml:space="preserve">45    1.858,50    1.115,10</w:t>
      </w:r>
    </w:p>
    <w:p>
      <w:r>
        <w:rPr>
          <w:rFonts w:ascii="Courier New" w:hAnsi="Courier New"/>
          <w:sz w:val="17"/>
        </w:rPr>
        <w:t xml:space="preserve">44    1.817,20    1.090,40</w:t>
      </w:r>
    </w:p>
    <w:p>
      <w:r>
        <w:rPr>
          <w:rFonts w:ascii="Courier New" w:hAnsi="Courier New"/>
          <w:sz w:val="17"/>
        </w:rPr>
        <w:t xml:space="preserve">43    1.775,90    1.065,60</w:t>
      </w:r>
    </w:p>
    <w:p>
      <w:r>
        <w:rPr>
          <w:rFonts w:ascii="Courier New" w:hAnsi="Courier New"/>
          <w:sz w:val="17"/>
        </w:rPr>
        <w:t xml:space="preserve">42    1.734,60    1.040,80</w:t>
      </w:r>
    </w:p>
    <w:p>
      <w:r>
        <w:rPr>
          <w:rFonts w:ascii="Courier New" w:hAnsi="Courier New"/>
          <w:sz w:val="17"/>
        </w:rPr>
        <w:t xml:space="preserve">41    1.693,30    1.016,00</w:t>
      </w:r>
    </w:p>
    <w:p>
      <w:r>
        <w:rPr>
          <w:rFonts w:ascii="Courier New" w:hAnsi="Courier New"/>
          <w:sz w:val="17"/>
        </w:rPr>
        <w:t xml:space="preserve">40 und weniger    1.652,00    991,20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 Deutsche Mark der Betrag von 28.084 Deutsche Mark, in § 3 Abs. 1 der Verordnung an die Stelle des Betrags von 171,60 Deutsche Mark der Betrag von 663,00 Deutsche Mark, an die Stelle des Betrags von 471,60 Deutsche Mark der Betrag von 1.820,70 Deutsche Mark und in § 3 Abs. 2 der Verordnung an die Stelle des Betrags von 4.281 Deutsche Mark der Betrag von 16.520 Deutsche Mark tritt.</w:t>
      </w:r>
    </w:p>
    <w:p>
      <w:r>
        <w:rPr>
          <w:color w:val="555555"/>
          <w:sz w:val="17"/>
        </w:rPr>
        <w:t xml:space="preserve">Zitiervorschlag: § 3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