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RAG 18</w:t>
      </w:r>
    </w:p>
    <w:p>
      <w:r>
        <w:rPr>
          <w:color w:val="555555"/>
          <w:sz w:val="18"/>
        </w:rPr>
        <w:t xml:space="preserve">Achtzehntes Rentenanpassungsgesetz</w:t>
      </w:r>
    </w:p>
    <w:p>
      <w:r>
        <w:rPr>
          <w:color w:val="555555"/>
          <w:sz w:val="18"/>
        </w:rPr>
        <w:t xml:space="preserve">Stand: 10.06.2019 (konsolidierte Textfassung, kein amtliches Inkrafttretensdatum)</w:t>
      </w:r>
    </w:p>
    <w:p>
      <w:r>
        <w:t xml:space="preserve">(1) Renten aus den Rentenversicherungen der Arbeiter und der Angestellten, die nach den §§ 2 und 3 anzupassen sind, Renten mit Leistungen oder Leistungsanteilen aus der knappschaftlichen Rentenversicherung, Renten nach Artikel 2 § 42 des Arbeiterrentenversicherungs-Neuregelungsgesetzes und Artikel 2 § 41 des Angestelltenversicherungs-Neuregelungsgesetzes und die in § 2 Abs. 2 genannten Renten, die mit einer Rente aus der gesetzlichen Unfallversicherung zusammentreffen, dürfen nach Anwendung der §§ 1278, 1279 der Reichsversicherungsordnung, §§ 55, 56 des Angestelltenversicherungsgesetzes und §§ 75, 76 des Reichsknappschaftsgesetzes zusammen mit der Rente aus der Unfallversicherung den Betrag nicht unterschreiten, der als Summe dieser Renten für Dezember 1963 gezahlt worden ist; Kinderzuschüsse und Kinderzulagen bleiben unberücksichtigt. Satz 1 gilt auch in den Fällen des § 1282 Abs. 1 der Reichsversicherungsordnung, § 59 Abs. 1 des Angestelltenversicherungsgesetzes und § 79 Abs. 1 des Reichsknappschaftsgesetzes. Ergibt in den übrigen Fällen die Anpassung nach dem Ersten Abschnitt keinen höheren als den bisherigen Zahlbetrag, so ist dieser weiterzuzahlen.</w:t>
      </w:r>
    </w:p>
    <w:p>
      <w:r>
        <w:t xml:space="preserve">(2) Ist eine Geldleistung aus der gesetzlichen Unfallversicherung, die auf Grund der bisherigen gesetzlichen Vorschriften festgestellt worden ist oder hätte festgestellt werden müssen, höher, als sie bei der Anpassung nach dem Zweiten Abschnitt sein würde, so ist dem Berechtigten die höhere Leistung zu gewähren.</w:t>
      </w:r>
    </w:p>
    <w:p>
      <w:r>
        <w:rPr>
          <w:color w:val="555555"/>
          <w:sz w:val="17"/>
        </w:rPr>
        <w:t xml:space="preserve">Zitiervorschlag: § 13 RAG 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https://recht.nulegal.eu/gesetze/RAG%2018/13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