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RAG 17</w:t>
      </w:r>
    </w:p>
    <w:p>
      <w:r>
        <w:rPr>
          <w:color w:val="555555"/>
          <w:sz w:val="18"/>
        </w:rPr>
        <w:t xml:space="preserve">Siebzehntes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Es treten § 15 Nr. 1 mit Wirkung vom 1. Januar 1974 an, § 15 Nr. 2 und § 16 mit Wirkung vom 1. Januar 1975 an, die übrigen Vorschriften am Tag nach der Verkündung in Kraft.</w:t>
      </w:r>
    </w:p>
    <w:p>
      <w:r>
        <w:rPr>
          <w:color w:val="555555"/>
          <w:sz w:val="17"/>
        </w:rPr>
        <w:t xml:space="preserve">Zitiervorschlag: § 19 RAG 17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https://recht.nulegal.eu/gesetze/RAG%2017/19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