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6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dieses Artikels angepaßt werden, findet Artikel 2 § 34 des Arbeiterrentenversicherungs-Neuregelungsgesetzes oder Artikel 2 § 33 des Angestelltenversicherungs-Neuregelungsgesetzes unter Zugrundelegung der Werte nach § 3 Abs. 2 dieses Artikels Anwendung.</w:t>
      </w:r>
    </w:p>
    <w:p>
      <w:r>
        <w:t xml:space="preserve">(2) Versichertenrenten der knappschaftlichen Rentenversicherung ohne Kinderzuschuß und ohne Leistungszuschlag, die nach § 4 dieses Artikels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ohne Kinderzuschuß und ohne Leistungszuschlag sowie Hinterbliebenenrenten aus Versicherungsfällen nach dem 31. Dezember 1956, die mit einer Rente aus der gesetzlichen Unfallversicherung zusammentreffen und nach § 4 dieses Artikels angepaßt werden, dürfen zusammen die in den §§ 1278, 1279 der Reichsversicherungsordnung, §§ 55, 56 des Angestelltenversicherungsgesetzes oder die in den §§ 75, 76 des Reichsknappschaftsgesetzes genannten Grenzbeträge, die bei einer Berechnung der Renten nach § 2 dieses Artikels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dieses Artikels angepaßt werden, dürfen zusammen die in den §§ 1278, 1279 der Reichsversicherungsordnung oder die in den §§ 55, 56 des Angestelltenversicherungsgesetzes genannten Grenzbeträge, die bei der Berechnung der Rente nach § 3 dieses Artikels zu berücksichtigen sind, nicht überschreiten.</w:t>
      </w:r>
    </w:p>
    <w:p>
      <w:r>
        <w:rPr>
          <w:color w:val="555555"/>
          <w:sz w:val="17"/>
        </w:rPr>
        <w:t xml:space="preserve">Zitiervorschlag: Art 1 § 6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