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15</w:t>
      </w:r>
    </w:p>
    <w:p>
      <w:r>
        <w:rPr>
          <w:color w:val="555555"/>
          <w:sz w:val="18"/>
        </w:rPr>
        <w:t xml:space="preserve">Fünfzehntes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1972 die Versicherten- und Hinterbliebenenrenten aus Versicherungsfällen, die im Jahre 1971 oder früher eingetreten sind, für Bezugszeiten vom 1. Juli 1972 an nach Maßgabe der §§ 2 bis 8 dieses Artikels angepaßt.</w:t>
      </w:r>
    </w:p>
    <w:p>
      <w:r>
        <w:t xml:space="preserve">(2) Zu den Renten im Sinne des Absatzes 1 gehören auch die nach Artikel 2 § 38 Abs. 3 Sätze 1 und 2 des Arbeiterrentenversicherungs-Neuregelungsgesetzes und Artikel 2 § 37 Abs. 3 Sätze 1 und 2 des Angestelltenversicherungs-Neuregelungsgesetzes im Jahre 1972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