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RAG 14</w:t>
      </w:r>
    </w:p>
    <w:p>
      <w:r>
        <w:rPr>
          <w:color w:val="555555"/>
          <w:sz w:val="18"/>
        </w:rPr>
        <w:t xml:space="preserve">Vierzehntes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 des § 15 tritt mit Wirkung vom 1. Januar 1972, die übrigen Vorschriften treten am Tag nach der Verkündung in Kraft.</w:t>
      </w:r>
    </w:p>
    <w:p>
      <w:r>
        <w:rPr>
          <w:color w:val="555555"/>
          <w:sz w:val="17"/>
        </w:rPr>
        <w:t xml:space="preserve">Zitiervorschlag: § 17 RAG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https://recht.nulegal.eu/gesetze/RAG%2014/17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