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2,4102 vervielfältigt und der Kinderzuschuß für jedes Kind nach der allgemeinen Bemessungsgrundlage für das Jahr 1970 berechnet werden würde; Abweichungen infolge Abrundungen sind zulässig. § 2 Abs. 1 Satz 4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1.289,80    773,90</w:t>
      </w:r>
    </w:p>
    <w:p>
      <w:r>
        <w:rPr>
          <w:rFonts w:ascii="Courier New" w:hAnsi="Courier New"/>
          <w:sz w:val="17"/>
        </w:rPr>
        <w:t xml:space="preserve">49    1.264,00    758,40</w:t>
      </w:r>
    </w:p>
    <w:p>
      <w:r>
        <w:rPr>
          <w:rFonts w:ascii="Courier New" w:hAnsi="Courier New"/>
          <w:sz w:val="17"/>
        </w:rPr>
        <w:t xml:space="preserve">48    1.238,20    742,90</w:t>
      </w:r>
    </w:p>
    <w:p>
      <w:r>
        <w:rPr>
          <w:rFonts w:ascii="Courier New" w:hAnsi="Courier New"/>
          <w:sz w:val="17"/>
        </w:rPr>
        <w:t xml:space="preserve">47    1.212,40    727,50</w:t>
      </w:r>
    </w:p>
    <w:p>
      <w:r>
        <w:rPr>
          <w:rFonts w:ascii="Courier New" w:hAnsi="Courier New"/>
          <w:sz w:val="17"/>
        </w:rPr>
        <w:t xml:space="preserve">46    1.186,60    712,00</w:t>
      </w:r>
    </w:p>
    <w:p>
      <w:r>
        <w:rPr>
          <w:rFonts w:ascii="Courier New" w:hAnsi="Courier New"/>
          <w:sz w:val="17"/>
        </w:rPr>
        <w:t xml:space="preserve">45    1.160,80    696,50</w:t>
      </w:r>
    </w:p>
    <w:p>
      <w:r>
        <w:rPr>
          <w:rFonts w:ascii="Courier New" w:hAnsi="Courier New"/>
          <w:sz w:val="17"/>
        </w:rPr>
        <w:t xml:space="preserve">44    1.135,00    681,00</w:t>
      </w:r>
    </w:p>
    <w:p>
      <w:r>
        <w:rPr>
          <w:rFonts w:ascii="Courier New" w:hAnsi="Courier New"/>
          <w:sz w:val="17"/>
        </w:rPr>
        <w:t xml:space="preserve">43    1.109,20    665,60</w:t>
      </w:r>
    </w:p>
    <w:p>
      <w:r>
        <w:rPr>
          <w:rFonts w:ascii="Courier New" w:hAnsi="Courier New"/>
          <w:sz w:val="17"/>
        </w:rPr>
        <w:t xml:space="preserve">42    1.083,40    650,10</w:t>
      </w:r>
    </w:p>
    <w:p>
      <w:r>
        <w:rPr>
          <w:rFonts w:ascii="Courier New" w:hAnsi="Courier New"/>
          <w:sz w:val="17"/>
        </w:rPr>
        <w:t xml:space="preserve">41    1.057,60    634,60</w:t>
      </w:r>
    </w:p>
    <w:p>
      <w:r>
        <w:rPr>
          <w:rFonts w:ascii="Courier New" w:hAnsi="Courier New"/>
          <w:sz w:val="17"/>
        </w:rPr>
        <w:t xml:space="preserve">40 und weniger    1.031,80    619,10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17.540,60 Deutsche Mark, in § 3 Abs. 1 der Verordnung an die Stelle des Betrags von 171,60 Deutsche Mark der Betrag von 414,20 Deutsche Mark, an die Stelle des Betrags von 471,60 Deutsche Mark der Betrag von 1.137,20 Deutsche Mark und in § 3 Abs. 2 der Verordnung an die Stelle des Betrags von 4.281 Deutsche Mark der Betrag von 10.318 Deutsche Mark tritt.</w:t>
      </w:r>
    </w:p>
    <w:p>
      <w:r>
        <w:rPr>
          <w:color w:val="555555"/>
          <w:sz w:val="17"/>
        </w:rPr>
        <w:t xml:space="preserve">Zitiervorschlag: § 3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