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1,093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Saarlandes S. 520) der Geldleistung zugrunde liegt.</w:t>
      </w:r>
    </w:p>
    <w:p>
      <w:r>
        <w:t xml:space="preserve">(2) Soweit die Geldleistungen auf Grund eines Jahresarbeitsverdienstes berechnet werden, dessen Betrag in der Satzung des Versicherungsträgers zahlenmäßig festgesetzt ist, werden sie in der Weise angepaßt, daß sie auf Grund des am 1. Januar 1969 maßgeblichen Betrages berechnet werden.</w:t>
      </w:r>
    </w:p>
    <w:p>
      <w:r>
        <w:t xml:space="preserve">(3) Das Pflegegeld wird in der Weise angepaßt, daß der nach § 558 Abs. 3 der Reichsversicherungsordnung in der Fassung des § 15 dieses Gesetzes zu zahlende Betrag mit 1,093 zu vervielfältigen ist.</w:t>
      </w:r>
    </w:p>
    <w:p>
      <w:r>
        <w:rPr>
          <w:color w:val="555555"/>
          <w:sz w:val="17"/>
        </w:rPr>
        <w:t xml:space="preserve">Zitiervorschlag: § 10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