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RAG 10</w:t>
      </w:r>
    </w:p>
    <w:p>
      <w:r>
        <w:rPr>
          <w:color w:val="555555"/>
          <w:sz w:val="18"/>
        </w:rPr>
        <w:t xml:space="preserve">Zehntes Rentenanpassungsgesetz</w:t>
      </w:r>
    </w:p>
    <w:p>
      <w:r>
        <w:rPr>
          <w:color w:val="555555"/>
          <w:sz w:val="18"/>
        </w:rPr>
        <w:t xml:space="preserve">Stand: 10.06.2019 (konsolidierte Textfassung, kein amtliches Inkrafttretensdatum)</w:t>
      </w:r>
    </w:p>
    <w:p>
      <w:r>
        <w:t xml:space="preserve">(1) Renten, die nach den §§ 1253ff. der Reichsversicherungsordnung, §§ 30ff. des Angestelltenversicherungsgesetzes oder §§ 53ff. des Reichsknappschaftsgesetzes berechnet sind, sind so anzupassen, daß sich eine Rente ergibt, wie sie sich nach Anwendung der Kürzungs- und Ruhensvorschriften ergeben würde, wenn die Rente ohne Änderung der übrigen Berechnungsfaktoren unter Zugrundelegung der allgemeinen Bemessungsgrundlage für das Jahr 1967 und der Beitragsbemessungsgrenze für dieses Jahr berechnet werden würde; Abweichungen infolge Abrundungen sind zulässig. § 1282 Abs. 2 der Reichsversicherungsordnung, § 59 Abs. 2 des Angestelltenversicherungsgesetzes oder § 79 Abs. 2 des Reichsknappschaftsgesetzes gilt nicht in den Fällen, in denen die §§ 1278, 1279 der Reichsversicherungsordnung, §§ 55, 56 des Angestelltenversicherungsgesetzes oder §§ 75, 76 des Reichsknappschaftsgesetzes angewendet worden sind.</w:t>
      </w:r>
    </w:p>
    <w:p>
      <w:r>
        <w:t xml:space="preserve">(2) Absatz 1 gilt nicht für Renten, bei denen § 1253 Abs. 2 Satz 5 allein oder in Verbindung mit § 1254 Abs. 2 Satz 2, § 1268 Abs. 2 Satz 2 der Reichsversicherungsordnung, § 30 Abs. 2 Satz 5 allein oder in Verbindung mit § 31 Abs. 2 Satz 2, § 45 Abs. 2 Satz 2 des Angestelltenversicherungsgesetzes, § 53 Abs. 3 Satz 5 allein oder in Verbindung mit § 53 Abs. 5 Satz 2, § 69 Abs. 2 Satz 2 des Reichsknappschaftsgesetzes, Artikel 2 § 38 Abs. 3 Satz 4 zweiter Halbsatz des Arbeiterrentenversicherungs-Neuregelungsgesetzes oder Artikel 2 § 37 Abs. 3 Satz 4 zweiter Halbsatz des Angestelltenversicherungs-Neuregelungsgesetzes angewendet worden ist.</w:t>
      </w:r>
    </w:p>
    <w:p>
      <w:r>
        <w:t xml:space="preserve">(3) Absatz 1 gilt entsprechend für Renten der knappschaftlichen Rentenversicherung, die nach Artikel 2 § 24 Abs. 5 des Knappschaftsrentenversicherungs-Neuregelungsgesetzes gezahlt werden.</w:t>
      </w:r>
    </w:p>
    <w:p>
      <w:r>
        <w:rPr>
          <w:color w:val="555555"/>
          <w:sz w:val="17"/>
        </w:rPr>
        <w:t xml:space="preserve">Zitiervorschlag: § 2 RAG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