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Soweit bei den Leistungen der Kriegsopferfürsorge nach dem Bundesversorgungsgesetz und den Gesetzen, die das Bundesversorgungsgesetz für anwendbar erklären, der Kriegsschadenrente und den Beihilfen zum Lebensunterhalt nach dem Lastenausgleichsgesetz, den Beihilfen zum Lebensunterhalt nach dem Gesetz über Hilfsmaßnahmen für Deutsche aus der sowjetischen Besatzungszone Deutschlands und dem sowjetisch besetzten Sektor von Berlin, den Leistungen nach dem Bundesentschädigungsgesetz, dem Bundessozialhilfegesetz und dem Gesetz für Jugendwohlfahrt, dem Wohngeld (Miet- und Lastenzuschüsse) nach dem Wohngeldgesetz in der Fassung der Bekanntmachung vom 1. April 1965 (Bundesgesetzbl. I S. 177)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1968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Arbeitslosenhilfe sowie der Altershilfe für Landwirte nicht zu berücksichtigen.</w:t>
      </w:r>
    </w:p>
    <w:p>
      <w:r>
        <w:t xml:space="preserve">(2) Absatz 1 gilt im Saarland mit der Maßgabe, daß das Bundesentschädigungsgesetz und das Lastenausgleichsgesetz unter Berücksichtigung ihrer im Saarland geltenden Fassung anzuwenden sind.</w:t>
      </w:r>
    </w:p>
    <w:p>
      <w:r>
        <w:rPr>
          <w:color w:val="555555"/>
          <w:sz w:val="17"/>
        </w:rPr>
        <w:t xml:space="preserve">Zitiervorschlag: § 13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