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10</w:t>
      </w:r>
    </w:p>
    <w:p>
      <w:r>
        <w:rPr>
          <w:color w:val="555555"/>
          <w:sz w:val="18"/>
        </w:rPr>
        <w:t xml:space="preserve">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und Renten nach Artikel 2 § 42 des Arbeiterrentenversicherungs-Neuregelungsgesetzes und Artikel 2 § 41 des Angestelltenversicherungs-Neuregelungsgesetzes,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beider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