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RAG 1</w:t>
      </w:r>
    </w:p>
    <w:p>
      <w:r>
        <w:rPr>
          <w:color w:val="555555"/>
          <w:sz w:val="18"/>
        </w:rPr>
        <w:t xml:space="preserve">Erstes Rentenanpassungsgesetz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Vorschriften dieses Gesetzes sind im Saarland unter Berücksichtigung der Fassung anzuwenden, in der die in den §§ 1 bis 4 aufgeführten Vorschriften im Saarland gelten.</w:t>
      </w:r>
    </w:p>
    <w:p>
      <w:r>
        <w:t xml:space="preserve">(2) Rentenzahlbetrag im Sinne des § 3 Abs. 1 Satz 1 ist im Saarland der Rentenbetrag in Deutsche Mark, der der Umrechnung in Französische Franken zugrunde liegt.</w:t>
      </w:r>
    </w:p>
    <w:p>
      <w:r>
        <w:rPr>
          <w:color w:val="555555"/>
          <w:sz w:val="17"/>
        </w:rPr>
        <w:t xml:space="preserve">Zitiervorschlag: § 8 RAG 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https://recht.nulegal.eu/gesetze/RAG%201/8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