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RAÜG — Prüfungsrecht des Bundesrechnungshofes</w:t>
      </w:r>
    </w:p>
    <w:p>
      <w:r>
        <w:rPr>
          <w:color w:val="555555"/>
          <w:sz w:val="18"/>
        </w:rPr>
        <w:t xml:space="preserve">Raumfahrtaufgabenübertragungsgesetz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Bundesrechnungshof prüft die Haushalts- und Wirtschaftsführung des DLR. Für das Prüfungsverfahren gelten die §§ 89, 90, 91, 94, 95, 96 und 100 der Bundeshaushaltsordnung entsprechend.</w:t>
      </w:r>
    </w:p>
    <w:p>
      <w:r>
        <w:rPr>
          <w:color w:val="555555"/>
          <w:sz w:val="17"/>
        </w:rPr>
        <w:t xml:space="preserve">Zitiervorschlag: § 3 RAÜG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https://recht.nulegal.eu/gesetze/RA%C3%9CG/3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