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RückHG — Beratung</w:t>
      </w:r>
    </w:p>
    <w:p>
      <w:r>
        <w:rPr>
          <w:color w:val="555555"/>
          <w:sz w:val="18"/>
        </w:rPr>
        <w:t xml:space="preserve">Rückkehrhilfegesetz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Rückkehrwillige Ausländer sind auf Verlangen über allgemeine Rückkehrbedingungen und über die Möglichkeiten der beruflichen Eingliederung einschließlich der Gründung einer selbständigen Existenz in den Heimatländern zu unterrichten und zu beraten.</w:t>
      </w:r>
    </w:p>
    <w:p>
      <w:r>
        <w:t xml:space="preserve">(2) Die Beratung wird durch die Bundesagentur für Arbeit nach fachlichen Weisungen des Bundesministeriums für Arbeit und Soziales oder durch nicht bundeseigene andere Stellen durchgeführt.</w:t>
      </w:r>
    </w:p>
    <w:p>
      <w:r>
        <w:t xml:space="preserve">(3) Die aus der Beratungsarbeit entstehenden Kosten für Schulung und Information der Berater sowie Kosten der Koordinierung trägt der Bund.</w:t>
      </w:r>
    </w:p>
    <w:p>
      <w:r>
        <w:rPr>
          <w:color w:val="555555"/>
          <w:sz w:val="17"/>
        </w:rPr>
        <w:t xml:space="preserve">Zitiervorschlag: § 7 RückHG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https://recht.nulegal.eu/gesetze/R%C3%BCckHG/7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