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RückHG — Aufbringung der Mittel durch den Bund</w:t>
      </w:r>
    </w:p>
    <w:p>
      <w:r>
        <w:rPr>
          <w:color w:val="555555"/>
          <w:sz w:val="18"/>
        </w:rPr>
        <w:t xml:space="preserve">Rückkehrhilfegesetz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Aufwendungen der Bundesagentur für Arbeit für die Gewährung der Rückkehrhilfe trägt der Bund. Verwaltungskosten werden nicht erstattet.</w:t>
      </w:r>
    </w:p>
    <w:p>
      <w:r>
        <w:rPr>
          <w:color w:val="555555"/>
          <w:sz w:val="17"/>
        </w:rPr>
        <w:t xml:space="preserve">Zitiervorschlag: § 4 RückHG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https://recht.nulegal.eu/gesetze/R%C3%BCckHG/4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