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RückBRTransparenzV</w:t>
      </w:r>
    </w:p>
    <w:p>
      <w:r>
        <w:rPr>
          <w:color w:val="555555"/>
          <w:sz w:val="18"/>
        </w:rPr>
        <w:t xml:space="preserve">Rückbaurückstellungs-Transparenzverordnung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9 des Transparenzgesetzes vom 27. Januar 2017 (BGBl. I S. 114, 125, 1676) in Verbindung mit § 1 Absatz 2 des Zuständigkeitsanpassungsgesetzes vom 16. August 2002 (BGBl. I S. 3165) und dem Organisationserlass vom 14. März 2018 (BGBl. I S. 374) verordnet das Bundesministerium für Wirtschaft und Energie im Einvernehmen mit dem Bundesministerium für Umwelt, Naturschutz und nukleare Sicherheit und dem Bundesministerium der Finanzen:</w:t>
      </w:r>
    </w:p>
    <w:p>
      <w:r>
        <w:rPr>
          <w:color w:val="555555"/>
          <w:sz w:val="17"/>
        </w:rPr>
        <w:t xml:space="preserve">Zitiervorschlag: Eingangsformel RückBRTransparenzV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https://recht.nulegal.eu/gesetze/R%C3%BCckBRTransparenzV/eingangsformel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