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RückBRTransparenzV — Inkrafttreten</w:t>
      </w:r>
    </w:p>
    <w:p>
      <w:r>
        <w:rPr>
          <w:color w:val="555555"/>
          <w:sz w:val="18"/>
        </w:rPr>
        <w:t xml:space="preserve">Rückbaurückstellungs-Transparenzverordnung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an dem Tag nach der Verkündung in Kraft.</w:t>
      </w:r>
    </w:p>
    <w:p>
      <w:r>
        <w:rPr>
          <w:color w:val="555555"/>
          <w:sz w:val="17"/>
        </w:rPr>
        <w:t xml:space="preserve">Zitiervorschlag: § 10 RückBRTransparenzV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https://recht.nulegal.eu/gesetze/R%C3%BCckBRTransparenzV/10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