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RÜG — Bergmannsrente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 haben Anspruch auf Bergmannsrente, wenn sie</w:t>
      </w:r>
    </w:p>
    <w:p>
      <w:pPr>
        <w:ind w:left="420"/>
      </w:pPr>
      <w:r>
        <w:t xml:space="preserve">1. die Wartezeit einer bergbaulichen Versicherung von fünf Jahren erfüllt haben und</w:t>
      </w:r>
    </w:p>
    <w:p>
      <w:pPr>
        <w:ind w:left="420"/>
      </w:pPr>
      <w:r>
        <w:t xml:space="preserve">2. ihre bisherige bergmännische Tätigkeit oder eine andere im wesentlichen gleichartige und wirtschaftlich gleichwertige Tätigkeit in Bergwerksbetrieben infolge einer Krankheit oder eines Unfalls nicht mehr ausüben können.</w:t>
      </w:r>
    </w:p>
    <w:p>
      <w:r>
        <w:rPr>
          <w:color w:val="555555"/>
          <w:sz w:val="17"/>
        </w:rPr>
        <w:t xml:space="preserve">Zitiervorschlag: § 9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