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RÜG — Bergmannsvollrente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Versicherte haben Anspruch auf Bergmannsvollrente, wenn sie</w:t>
      </w:r>
    </w:p>
    <w:p>
      <w:pPr>
        <w:ind w:left="420"/>
      </w:pPr>
      <w:r>
        <w:t xml:space="preserve">1. das 50. Lebensjahr vollendet,</w:t>
      </w:r>
    </w:p>
    <w:p>
      <w:pPr>
        <w:ind w:left="420"/>
      </w:pPr>
      <w:r>
        <w:t xml:space="preserve">2. die Wartezeit einer bergbaulichen Versicherung von 25 Jahren erfüllt und</w:t>
      </w:r>
    </w:p>
    <w:p>
      <w:pPr>
        <w:ind w:left="420"/>
      </w:pPr>
      <w:r>
        <w:t xml:space="preserve">3. mindestens 15 Jahre Untertagetätigkeit ausgeübt haben.</w:t>
      </w:r>
    </w:p>
    <w:p>
      <w:r>
        <w:t xml:space="preserve">(2) Für Versicherte, die mindestens zehn Jahre Untertagetätigkeit ausgeübt haben und diese Tätigkeit aus den in § 17 Abs. 3 Nr. 4 Buchstabe b genannten Gründen aufgeben mußten, entsteht der Anspruch auf Bergmannsvollrente um die Anzahl der Monate später, die an einer 15jährigen Untertagetätigkeit fehlen.</w:t>
      </w:r>
    </w:p>
    <w:p>
      <w:r>
        <w:rPr>
          <w:color w:val="555555"/>
          <w:sz w:val="17"/>
        </w:rPr>
        <w:t xml:space="preserve">Zitiervorschlag: § 6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