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RÜG — Beginn, Änderung und Ende von Renten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über Beginn, Änderung und Ende von Renten des Sechsten Buches Sozialgesetzbuch sind entsprechend anzuwenden.</w:t>
      </w:r>
    </w:p>
    <w:p>
      <w:r>
        <w:t xml:space="preserve">(2) Beginnt der Anspruch auf eine Rente wegen Alters während des Bezugs einer Rente wegen verminderter Erwerbsfähigkeit, wird eine Vergleichsberechnung vorgenommen und die höhere Rente geleistet.</w:t>
      </w:r>
    </w:p>
    <w:p>
      <w:r>
        <w:t xml:space="preserve">(3) Eine durch Wiederverheiratung weggefallene Zahlung einer Witwenrente, Witwerrente, Bergmannswitwenrente oder Bergmannswitwerrente lebt wieder auf, wenn</w:t>
      </w:r>
    </w:p>
    <w:p>
      <w:pPr>
        <w:ind w:left="420"/>
      </w:pPr>
      <w:r>
        <w:t xml:space="preserve">1. bei Tod des neuen Ehegatten ein Anspruch auf eine solche Rente aus der letzten Ehe nicht besteht oder</w:t>
      </w:r>
    </w:p>
    <w:p>
      <w:pPr>
        <w:ind w:left="420"/>
      </w:pPr>
      <w:r>
        <w:t xml:space="preserve">2. die neue Ehe aufgrund eines innerhalb eines Jahres nach der Wiederverheiratung gestellten Antrags auf Ehescheidung geschieden wird und eine Unterhaltszahlung durch das Gericht nicht festgelegt worden ist,</w:t>
      </w:r>
    </w:p>
    <w:p>
      <w:r>
        <w:t xml:space="preserve">wenn im übrigen die Voraussetzungen des § 11 Abs. 1 Nr. 1 erfüllt sind.</w:t>
      </w:r>
    </w:p>
    <w:p>
      <w:r>
        <w:rPr>
          <w:color w:val="555555"/>
          <w:sz w:val="17"/>
        </w:rPr>
        <w:t xml:space="preserve">Zitiervorschlag: § 44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