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RÜG — Berechnung von Geldleistungen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Berechnung des</w:t>
      </w:r>
    </w:p>
    <w:p>
      <w:pPr>
        <w:ind w:left="420"/>
      </w:pPr>
      <w:r>
        <w:t xml:space="preserve">1. beitragspflichtigen Durchschnittseinkommens,</w:t>
      </w:r>
    </w:p>
    <w:p>
      <w:pPr>
        <w:ind w:left="420"/>
      </w:pPr>
      <w:r>
        <w:t xml:space="preserve">2. Durchschnittseinkommens für Zusatzrenten,</w:t>
      </w:r>
    </w:p>
    <w:p>
      <w:pPr>
        <w:ind w:left="420"/>
      </w:pPr>
      <w:r>
        <w:t xml:space="preserve">3. Monatsbetrags der Renten aus der Sozialpflichtversicherung,</w:t>
      </w:r>
    </w:p>
    <w:p>
      <w:pPr>
        <w:ind w:left="420"/>
      </w:pPr>
      <w:r>
        <w:t xml:space="preserve">4. Zuschlags für Untertagetätigkeiten und</w:t>
      </w:r>
    </w:p>
    <w:p>
      <w:pPr>
        <w:ind w:left="420"/>
      </w:pPr>
      <w:r>
        <w:t xml:space="preserve">5. Monatsbetrags der Zusatzrenten</w:t>
      </w:r>
    </w:p>
    <w:p>
      <w:r>
        <w:t xml:space="preserve">ist auf volle Deutsche Mark aufzurunden.</w:t>
      </w:r>
    </w:p>
    <w:p>
      <w:r>
        <w:rPr>
          <w:color w:val="555555"/>
          <w:sz w:val="17"/>
        </w:rPr>
        <w:t xml:space="preserve">Zitiervorschlag: § 40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