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RÜG — Steigerungssatz</w:t>
      </w:r>
    </w:p>
    <w:p>
      <w:r>
        <w:rPr>
          <w:color w:val="555555"/>
          <w:sz w:val="18"/>
        </w:rPr>
        <w:t xml:space="preserve">Renten-Überleitungsgesetz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Steigerungssatz für jedes Arbeitsjahr beträgt bei</w:t>
      </w:r>
    </w:p>
    <w:p>
      <w:pPr>
        <w:ind w:left="420"/>
      </w:pPr>
      <w:r>
        <w:t xml:space="preserve">1. Renten wegen Alters,</w:t>
      </w:r>
    </w:p>
    <w:p>
      <w:pPr>
        <w:ind w:left="420"/>
      </w:pPr>
      <w:r>
        <w:t xml:space="preserve">2. Invalidenrenten und</w:t>
      </w:r>
    </w:p>
    <w:p>
      <w:pPr>
        <w:ind w:left="420"/>
      </w:pPr>
      <w:r>
        <w:t xml:space="preserve">3. Bergmannsinvalidenrenten</w:t>
      </w:r>
    </w:p>
    <w:p>
      <w:r>
        <w:t xml:space="preserve">eins vom Hundert.</w:t>
      </w:r>
    </w:p>
    <w:p>
      <w:r>
        <w:t xml:space="preserve">(2) Der Steigerungssatz für jedes Jahr der bergbaulichen Versicherung beträgt bei</w:t>
      </w:r>
    </w:p>
    <w:p>
      <w:pPr>
        <w:ind w:left="420"/>
      </w:pPr>
      <w:r>
        <w:t xml:space="preserve">1. Bergmannsaltersrenten,</w:t>
      </w:r>
    </w:p>
    <w:p>
      <w:pPr>
        <w:ind w:left="420"/>
      </w:pPr>
      <w:r>
        <w:t xml:space="preserve">2. Bergmannsinvalidenrenten,</w:t>
      </w:r>
    </w:p>
    <w:p>
      <w:pPr>
        <w:ind w:left="420"/>
      </w:pPr>
      <w:r>
        <w:t xml:space="preserve">3. Bergmannsvollrenten</w:t>
      </w:r>
    </w:p>
    <w:p>
      <w:r>
        <w:t xml:space="preserve">zwei vom Hundert.</w:t>
      </w:r>
    </w:p>
    <w:p>
      <w:r>
        <w:rPr>
          <w:color w:val="555555"/>
          <w:sz w:val="17"/>
        </w:rPr>
        <w:t xml:space="preserve">Zitiervorschlag: § 32 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https://recht.nulegal.eu/gesetze/R%C3%9CG/32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