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RÜG — Steigerungsbetrag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Steigerungsbetrag ergibt sich aus der Vervielfältigung von</w:t>
      </w:r>
    </w:p>
    <w:p>
      <w:pPr>
        <w:ind w:left="420"/>
      </w:pPr>
      <w:r>
        <w:t xml:space="preserve">1. beitragspflichtigem Durchschnittseinkommen,</w:t>
      </w:r>
    </w:p>
    <w:p>
      <w:pPr>
        <w:ind w:left="420"/>
      </w:pPr>
      <w:r>
        <w:t xml:space="preserve">2. Anzahl der Arbeitsjahre und</w:t>
      </w:r>
    </w:p>
    <w:p>
      <w:pPr>
        <w:ind w:left="420"/>
      </w:pPr>
      <w:r>
        <w:t xml:space="preserve">3. Steigerungssatz.</w:t>
      </w:r>
    </w:p>
    <w:p>
      <w:r>
        <w:rPr>
          <w:color w:val="555555"/>
          <w:sz w:val="17"/>
        </w:rPr>
        <w:t xml:space="preserve">Zitiervorschlag: § 30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