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RÜG — Festbetrag</w:t>
      </w:r>
    </w:p>
    <w:p>
      <w:r>
        <w:rPr>
          <w:color w:val="555555"/>
          <w:sz w:val="18"/>
        </w:rPr>
        <w:t xml:space="preserve">Renten-Überleitungsgesetz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Festbetrag beträgt bei</w:t>
      </w:r>
    </w:p>
    <w:p>
      <w:r>
        <w:rPr>
          <w:rFonts w:ascii="Courier New" w:hAnsi="Courier New"/>
          <w:sz w:val="17"/>
        </w:rPr>
        <w:t xml:space="preserve">1.    weniger als 25 Arbeitsjahren    170 Deutsche Mark,</w:t>
      </w:r>
    </w:p>
    <w:p>
      <w:r>
        <w:rPr>
          <w:rFonts w:ascii="Courier New" w:hAnsi="Courier New"/>
          <w:sz w:val="17"/>
        </w:rPr>
        <w:t xml:space="preserve">2.    25 bis weniger als 30 Arbeitsjahren    180 Deutsche Mark,</w:t>
      </w:r>
    </w:p>
    <w:p>
      <w:r>
        <w:rPr>
          <w:rFonts w:ascii="Courier New" w:hAnsi="Courier New"/>
          <w:sz w:val="17"/>
        </w:rPr>
        <w:t xml:space="preserve">3.    30 bis weniger als 35 Arbeitsjahren    190 Deutsche Mark,</w:t>
      </w:r>
    </w:p>
    <w:p>
      <w:r>
        <w:rPr>
          <w:rFonts w:ascii="Courier New" w:hAnsi="Courier New"/>
          <w:sz w:val="17"/>
        </w:rPr>
        <w:t xml:space="preserve">4.    35 bis weniger als 40 Arbeitsjahren    200 Deutsche Mark und</w:t>
      </w:r>
    </w:p>
    <w:p>
      <w:r>
        <w:rPr>
          <w:rFonts w:ascii="Courier New" w:hAnsi="Courier New"/>
          <w:sz w:val="17"/>
        </w:rPr>
        <w:t xml:space="preserve">5.    40 und mehr Arbeitsjahren    210 Deutsche Mark.</w:t>
      </w:r>
    </w:p>
    <w:p>
      <w:r>
        <w:rPr>
          <w:color w:val="555555"/>
          <w:sz w:val="17"/>
        </w:rPr>
        <w:t xml:space="preserve">Zitiervorschlag: § 29 RÜG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https://recht.nulegal.eu/gesetze/R%C3%9CG/29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