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RÜG — Wartezeiten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Erfüllung der allgemeinen Wartezeit von 15 Jahren ist Voraussetzung für einen Anspruch auf</w:t>
      </w:r>
    </w:p>
    <w:p>
      <w:pPr>
        <w:ind w:left="420"/>
      </w:pPr>
      <w:r>
        <w:t xml:space="preserve">1. Altersrente,</w:t>
      </w:r>
    </w:p>
    <w:p>
      <w:pPr>
        <w:ind w:left="420"/>
      </w:pPr>
      <w:r>
        <w:t xml:space="preserve">2. Bergmannsaltersrente,</w:t>
      </w:r>
    </w:p>
    <w:p>
      <w:pPr>
        <w:ind w:left="420"/>
      </w:pPr>
      <w:r>
        <w:t xml:space="preserve">3. Invalidenrente,</w:t>
      </w:r>
    </w:p>
    <w:p>
      <w:pPr>
        <w:ind w:left="420"/>
      </w:pPr>
      <w:r>
        <w:t xml:space="preserve">4. Bergmannsinvalidenrente.</w:t>
      </w:r>
    </w:p>
    <w:p>
      <w:r>
        <w:t xml:space="preserve">(2) Die Erfüllung der Wartezeiten einer bergbaulichen Versicherung</w:t>
      </w:r>
    </w:p>
    <w:p>
      <w:pPr>
        <w:ind w:left="420"/>
      </w:pPr>
      <w:r>
        <w:t xml:space="preserve">1. von 25 Jahren ist Voraussetzung für einen Anspruch auf Bergmannsvollrente,</w:t>
      </w:r>
    </w:p>
    <w:p>
      <w:pPr>
        <w:ind w:left="420"/>
      </w:pPr>
      <w:r>
        <w:t xml:space="preserve">2. von fünf Jahren ist Voraussetzung für einen Anspruch auf Bergmannsrente.</w:t>
      </w:r>
    </w:p>
    <w:p>
      <w:r>
        <w:rPr>
          <w:color w:val="555555"/>
          <w:sz w:val="17"/>
        </w:rPr>
        <w:t xml:space="preserve">Zitiervorschlag: § 16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