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RÜG — Allgemeines</w:t>
      </w:r>
    </w:p>
    <w:p>
      <w:r>
        <w:rPr>
          <w:color w:val="555555"/>
          <w:sz w:val="18"/>
        </w:rPr>
        <w:t xml:space="preserve">Renten-Überleitungsgesetz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Anspruch auf Rente nach den Vorschriften dieses Artikels haben Personen,</w:t>
      </w:r>
    </w:p>
    <w:p>
      <w:pPr>
        <w:ind w:left="420"/>
      </w:pPr>
      <w:r>
        <w:t xml:space="preserve">1. die die in diesem Artikel geregelten Anspruchsvoraussetzungen erfüllen,</w:t>
      </w:r>
    </w:p>
    <w:p>
      <w:pPr>
        <w:ind w:left="420"/>
      </w:pPr>
      <w:r>
        <w:t xml:space="preserve">2. die am 18. Mai 1990 ihren Wohnsitz oder gewöhnlichen Aufenthalt im Beitrittsgebiet (§ 18 Abs. 3 Viertes Buch Sozialgesetzbuch) hatten und</w:t>
      </w:r>
    </w:p>
    <w:p>
      <w:pPr>
        <w:ind w:left="420"/>
      </w:pPr>
      <w:r>
        <w:t xml:space="preserve">3. deren Rente in der Zeit vom 1. Januar 1992 bis zum 31. Dezember 1996 beginnt,</w:t>
      </w:r>
    </w:p>
    <w:p>
      <w:r>
        <w:t xml:space="preserve">solange sie ihren gewöhnlichen Aufenthalt im Gebiet der Bundesrepublik Deutschland haben.</w:t>
      </w:r>
    </w:p>
    <w:p>
      <w:r>
        <w:t xml:space="preserve">(2) Versicherte im Sinne dieses Artikels sind Personen, die vor Rentenbeginn rentenrechtliche Zeiten haben.</w:t>
      </w:r>
    </w:p>
    <w:p>
      <w:r>
        <w:t xml:space="preserve">(3) Die Vorschriften des Ersten und Zehnten Buches Sozialgesetzbuch sind entsprechend anzuwenden.</w:t>
      </w:r>
    </w:p>
    <w:p>
      <w:r>
        <w:rPr>
          <w:color w:val="555555"/>
          <w:sz w:val="17"/>
        </w:rPr>
        <w:t xml:space="preserve">Zitiervorschlag: § 1 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https://recht.nulegal.eu/gesetze/R%C3%9CG/1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