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QualVFL (Bayern)</w:t>
      </w:r>
    </w:p>
    <w:p>
      <w:r>
        <w:rPr>
          <w:color w:val="555555"/>
          <w:sz w:val="18"/>
        </w:rPr>
        <w:t xml:space="preserve">Qualifikationsverordnung Fachlehrkräfte</w:t>
      </w:r>
    </w:p>
    <w:p>
      <w:r>
        <w:rPr>
          <w:color w:val="555555"/>
          <w:sz w:val="18"/>
        </w:rPr>
        <w:t xml:space="preserve">Landesrecht Bayern</w:t>
      </w:r>
    </w:p>
    <w:p>
      <w:r>
        <w:rPr>
          <w:color w:val="555555"/>
          <w:sz w:val="18"/>
        </w:rPr>
        <w:t xml:space="preserve">Stand: 25.08.2026 (konsolidierte Textfassung, kein amtliches Inkrafttretensdatum)</w:t>
      </w:r>
    </w:p>
    <w:p>
      <w:r>
        <w:t xml:space="preserve">Auf Grund des Art. 7 Abs. 2, des Art. 22 Abs. 6 Halbsatz 2, des Art. 38 Abs. 2, des Art. 67 Satz 1 Nr. 2 und 3 und des Art. 68 Abs. 1 des Leistungslaufbahngesetzes (LlbG), das zuletzt durch Art. 10a des Gesetzes vom 9. April 2021 (GVBl. S. 150) geändert worden ist, verordnen die Bayerischen Staatsministerien des Innern, für Sport und Integration und für Unterricht und Kultus im Einvernehmen mit dem Bayerischen Staatsministerium der Finanzen und für Heimat und dem Landespersonalausschuss:</w:t>
      </w:r>
    </w:p>
    <w:p>
      <w:r>
        <w:rPr>
          <w:color w:val="555555"/>
          <w:sz w:val="17"/>
        </w:rPr>
        <w:t xml:space="preserve">Zitiervorschlag: Eingangsformel QualVFL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https://recht.nulegal.eu/gesetze/QualVFL/eingangsformel</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