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QualVFL (Bayern) — Rücktritt, Verhinderung und Versäumnis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Tritt die oder der Studierende vor Beginn der Qualifikationsprüfung zurück, so gilt die Prüfung als nicht abgelegt.</w:t>
      </w:r>
    </w:p>
    <w:p>
      <w:r>
        <w:t xml:space="preserve">(2) Tritt die oder der Studierende nach Beginn der Prüfung aus Gründen, die sie oder er zu vertreten hat, zurück, so gilt die Prüfung als abgelegt und nicht bestanden.</w:t>
      </w:r>
    </w:p>
    <w:p>
      <w:r>
        <w:t xml:space="preserve">(3) Kann die oder der Studierende nach Beginn der Prüfung aus Gründen, die sie oder er nicht zu vertreten hat, die Prüfung nicht oder nur zum Teil ablegen, so gilt:</w:t>
      </w:r>
    </w:p>
    <w:p>
      <w:r>
        <w:t xml:space="preserve">1. Wurden die Lehrproben und die Prüfung nach den §§ 14 bis 16 in zwei Prüfungsfächern oder Aufgabengebieten abgelegt, so gilt die Prüfung als abgelegt; die fehlenden Prüfungsteile sind innerhalb einer von dem oder der Vorsitzenden des Prüfungsausschusses zu bestimmenden Frist nachzuholen;</w:t>
      </w:r>
    </w:p>
    <w:p>
      <w:r>
        <w:t xml:space="preserve">2. sind die Prüfungsleistungen nach Nr. 1 nicht erbracht, so gilt die Prüfung als nicht abgelegt.</w:t>
      </w:r>
    </w:p>
    <w:p>
      <w:r>
        <w:t xml:space="preserve">Der Nachweis der unverschuldeten Verhinderung ist unverzüglich zu erbringen, im Fall der Krankheit grundsätzlich durch amtsärztliches Zeugnis.</w:t>
      </w:r>
    </w:p>
    <w:p>
      <w:r>
        <w:t xml:space="preserve">(4) Die Folgen des Rücktritts, der Verhinderung und des Versäumnisses werden der oder dem Studierenden unverzüglich schriftlich mitgeteilt.</w:t>
      </w:r>
    </w:p>
    <w:p>
      <w:r>
        <w:rPr>
          <w:color w:val="555555"/>
          <w:sz w:val="17"/>
        </w:rPr>
        <w:t xml:space="preserve">Zitiervorschlag: § 23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