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QualVFL (Bayern) — Schriftliche Prüfung</w:t>
      </w:r>
    </w:p>
    <w:p>
      <w:r>
        <w:rPr>
          <w:color w:val="555555"/>
          <w:sz w:val="18"/>
        </w:rPr>
        <w:t xml:space="preserve">Qualifikationsverordnung Fachlehrkräfte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schriftliche Prüfung umfasst jeweils eine Klausurarbeit aus den Prüfungsfächern</w:t>
      </w:r>
    </w:p>
    <w:p>
      <w:r>
        <w:t xml:space="preserve">1. Pädagogik und Psychologie,</w:t>
      </w:r>
    </w:p>
    <w:p>
      <w:r>
        <w:t xml:space="preserve">2. Didaktik.</w:t>
      </w:r>
    </w:p>
    <w:p>
      <w:r>
        <w:t xml:space="preserve">Die Arbeitszeit für die Klausurarbeiten beträgt jeweils drei Stunden.</w:t>
      </w:r>
    </w:p>
    <w:p>
      <w:r>
        <w:rPr>
          <w:color w:val="555555"/>
          <w:sz w:val="17"/>
        </w:rPr>
        <w:t xml:space="preserve">Zitiervorschlag: § 14 QualVFL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https://recht.nulegal.eu/gesetze/QualVFL/14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