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QualVFL (Bayern) — Prüfungstermin und Nachteilsausgleich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Prüfungszeiträume für die Lehrproben und die übrigen Prüfungstermine werden durch die Leiterin oder den Leiter des Staatsinstituts festgesetzt und sechs Wochen vor Prüfungsbeginn bekannt gegeben.</w:t>
      </w:r>
    </w:p>
    <w:p>
      <w:r>
        <w:t xml:space="preserve">(2) Anträge auf Gewährung eines Nachteilsausgleichs sind spätestens vier Wochen vor Prüfungsbeginn bei der Leiterin oder dem Leiter des Staatsinstituts zu stellen, die oder der über den Nachteilsausgleich entscheidet.</w:t>
      </w:r>
    </w:p>
    <w:p>
      <w:r>
        <w:rPr>
          <w:color w:val="555555"/>
          <w:sz w:val="17"/>
        </w:rPr>
        <w:t xml:space="preserve">Zitiervorschlag: § 13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