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QualV (Bayern) — Anerkennung von Qualifikationen im Einzelfall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Abschlüsse an Unterrichtseinrichtungen, Eignungsprüfungen oder sonstige Prüfungen, die den in dieser Verordnung genannten Qualifikationen gleichwertig sind, können im Einzelfall anerkannt werden</w:t>
      </w:r>
    </w:p>
    <w:p>
      <w:r>
        <w:t xml:space="preserve">1. soweit es sich um solche außerhalb des Hochschulbereichs handelt, vom Staatsministerium für Unterricht und Kultus oder einer von diesem beauftragten Stelle,</w:t>
      </w:r>
    </w:p>
    <w:p>
      <w:r>
        <w:t xml:space="preserve">2. soweit es sich um solche innerhalb des Hochschulbereichs handelt, vom Staatsministerium für Wissenschaft und Kunst oder einer von diesem beauftragten Stelle.</w:t>
      </w:r>
    </w:p>
    <w:p>
      <w:r>
        <w:t xml:space="preserve">§ 6 Abs. 2 Satz 2 gilt entsprechend.</w:t>
      </w:r>
    </w:p>
    <w:p>
      <w:r>
        <w:rPr>
          <w:color w:val="555555"/>
          <w:sz w:val="17"/>
        </w:rPr>
        <w:t xml:space="preserve">Zitiervorschlag: § 40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