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QualV (Bayern) — Zuständigkeiten</w:t>
      </w:r>
    </w:p>
    <w:p>
      <w:r>
        <w:rPr>
          <w:color w:val="555555"/>
          <w:sz w:val="18"/>
        </w:rPr>
        <w:t xml:space="preserve">Qualifikationsverordnung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Über das Vorliegen der jeweiligen Qualifikationsvoraussetzungen entscheidet die aufnehmende Hochschule im Rahmen des Zulassungs- und/oder Immatrikulationsverfahrens, soweit in dieser Verordnung nichts anderes bestimmt ist.</w:t>
      </w:r>
    </w:p>
    <w:p>
      <w:r>
        <w:rPr>
          <w:color w:val="555555"/>
          <w:sz w:val="17"/>
        </w:rPr>
        <w:t xml:space="preserve">Zitiervorschlag: § 37 QualV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https://recht.nulegal.eu/gesetze/QualV/37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