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QualV (Bayern) — Eignungsfeststellungsverfahren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Hochschulen legen durch Satzung die Einzelheiten des Eignungsfeststellungsverfahrens fest, in der neben den Gründen für dessen Einführung insbesondere zu regeln ist:</w:t>
      </w:r>
    </w:p>
    <w:p>
      <w:r>
        <w:t xml:space="preserve">1. die Form der Anträge für die Bewerbung und die dabei einzuhaltenden Fristen,</w:t>
      </w:r>
    </w:p>
    <w:p>
      <w:r>
        <w:t xml:space="preserve">2. die Festlegung der Kriterien und deren jeweiliger prozentualer Anteil am Ergebnis (Art. 44 Abs. 4 Sätze 3 bis 6 BayHSchG),</w:t>
      </w:r>
    </w:p>
    <w:p>
      <w:r>
        <w:t xml:space="preserve">3. die Zusammensetzung der Auswahlkommission,</w:t>
      </w:r>
    </w:p>
    <w:p>
      <w:r>
        <w:t xml:space="preserve">4. im Fall eines Auswahlgesprächs der Gegenstand, die Dauer sowie die Beurteilungskriterien,</w:t>
      </w:r>
    </w:p>
    <w:p>
      <w:r>
        <w:t xml:space="preserve">5. im Fall eines Tests (Leistungserhebung in schriftlicher Form) der Gegenstand, die Dauer, die Grundsätze der Bewertung sowie die Ermittlung des Testergebnisses,</w:t>
      </w:r>
    </w:p>
    <w:p>
      <w:r>
        <w:t xml:space="preserve">6. die Niederschrift über den Ablauf des Feststellungsverfahrens,</w:t>
      </w:r>
    </w:p>
    <w:p>
      <w:r>
        <w:t xml:space="preserve">7. die Feststellung und Bekanntgabe des Ergebnisses,</w:t>
      </w:r>
    </w:p>
    <w:p>
      <w:r>
        <w:t xml:space="preserve">8. die Wiederholungsmöglichkeit.</w:t>
      </w:r>
    </w:p>
    <w:p>
      <w:r>
        <w:t xml:space="preserve">Im Fall einer Leistungserhebung in schriftlicher Form ist ein anonymisiertes Testverfahren sicherzustellen.</w:t>
      </w:r>
    </w:p>
    <w:p>
      <w:r>
        <w:rPr>
          <w:color w:val="555555"/>
          <w:sz w:val="17"/>
        </w:rPr>
        <w:t xml:space="preserve">Zitiervorschlag: § 34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