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QualV (Bayern) — Fachhochschulreife – im Inland außerhalb des Hochschulbereichs erworben</w:t>
      </w:r>
    </w:p>
    <w:p>
      <w:r>
        <w:rPr>
          <w:color w:val="555555"/>
          <w:sz w:val="18"/>
        </w:rPr>
        <w:t xml:space="preserve">Qualifikationsverordnung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Fachhochschulreife wird, vorbehaltlich des Abs. 3, nachgewiesen durch ein außerhalb des Freistaates Bayern im Inland erworbenes</w:t>
      </w:r>
    </w:p>
    <w:p>
      <w:r>
        <w:t xml:space="preserve">1. Zeugnis der Fachhochschulreife einer öffentlichen oder staatlich anerkannten Fachoberschule;</w:t>
      </w:r>
    </w:p>
    <w:p>
      <w:r>
        <w:t xml:space="preserve">2. Zeugnis der Fachhochschulreife der zuständigen Schulaufsichtsbehörde für Absolventen des Aufbaulehrgangs Verwaltung oder eines Fachhochschulreifelehrgangs der Bundeswehrfachschulen;</w:t>
      </w:r>
    </w:p>
    <w:p>
      <w:r>
        <w:t xml:space="preserve">3. Zeugnis über die Schulfremdenprüfung zum Erwerb der Fachhochschulreife im Land Baden-Württemberg;</w:t>
      </w:r>
    </w:p>
    <w:p>
      <w:r>
        <w:t xml:space="preserve">4. Zeugnis der Fachhochschulreife einer öffentlichen oder staatlich anerkannten Kollegschule.</w:t>
      </w:r>
    </w:p>
    <w:p>
      <w:r>
        <w:t xml:space="preserve">(2) Als Nachweise der Fachhochschulreife gelten, vorbehaltlich des Abs. 3, auch Zeugnisse der Fachhochschulreife, die über besondere Bildungswege oder berufliche Bildungsgänge außerhalb des Freistaates Bayern im Inland erworben worden sind.</w:t>
      </w:r>
    </w:p>
    <w:p>
      <w:r>
        <w:t xml:space="preserve">(3) § 6 Abs. 2 gilt entsprechend.</w:t>
      </w:r>
    </w:p>
    <w:p>
      <w:r>
        <w:rPr>
          <w:color w:val="555555"/>
          <w:sz w:val="17"/>
        </w:rPr>
        <w:t xml:space="preserve">Zitiervorschlag: § 24 QualV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https://recht.nulegal.eu/gesetze/QualV/24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