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QuOJWDBbg (Brandenburg) — Gliederung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laufbahnqualifizierende Zusatzausbildung gliedert sich wie folgt:</w:t>
      </w:r>
    </w:p>
    <w:p>
      <w:r>
        <w:t xml:space="preserve">Fachtheorie I</w:t>
      </w:r>
    </w:p>
    <w:p>
      <w:r>
        <w:t xml:space="preserve">zwei Monate fachtheoretische Ausbildung,</w:t>
      </w:r>
    </w:p>
    <w:p>
      <w:r>
        <w:t xml:space="preserve">Fachpraxis</w:t>
      </w:r>
    </w:p>
    <w:p>
      <w:r>
        <w:t xml:space="preserve">acht Monate Ausbildung bei den Ausbildungsstationen nach Absatz 2</w:t>
      </w:r>
    </w:p>
    <w:p>
      <w:r>
        <w:t xml:space="preserve">Fachtheorie II</w:t>
      </w:r>
    </w:p>
    <w:p>
      <w:r>
        <w:t xml:space="preserve">zwei Monate fachtheoretische Ausbildung und schriftliche Prüfung.</w:t>
      </w:r>
    </w:p>
    <w:p>
      <w:r>
        <w:t xml:space="preserve">(2) Die Fachpraxis umfasst folgende Ausbildungsstationen:</w:t>
      </w:r>
    </w:p>
    <w:p>
      <w:r>
        <w:t xml:space="preserve">drei Monate bei einem Landgericht,</w:t>
      </w:r>
    </w:p>
    <w:p>
      <w:r>
        <w:t xml:space="preserve">drei Monate bei einem Amtsgericht,</w:t>
      </w:r>
    </w:p>
    <w:p>
      <w:r>
        <w:t xml:space="preserve">einen Monat bei einer Justizvollzugsanstalt und</w:t>
      </w:r>
    </w:p>
    <w:p>
      <w:r>
        <w:t xml:space="preserve">einen Monat bei einer Staatsanwaltschaft.</w:t>
      </w:r>
    </w:p>
    <w:p>
      <w:r>
        <w:t xml:space="preserve">Die Präsidentin oder der Präsident des Brandenburgischen Oberlandesgerichts kann im Einzelfall statt der Ableistung der Fachpraxis an einem Landgericht nach Satz 1 Nummer 1 oder einem Amtsgericht nach Satz 1 Nummer 2 auch eine Ableistung der Fachpraxis an einem Fachgericht von bis zu einem Monat zulassen.</w:t>
      </w:r>
    </w:p>
    <w:p>
      <w:r>
        <w:rPr>
          <w:color w:val="555555"/>
          <w:sz w:val="17"/>
        </w:rPr>
        <w:t xml:space="preserve">Zitiervorschlag: § 7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