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27 QuOJWDBbg (Brandenburg) — Regelungen für Menschen mit Behinderungen</w:t>
      </w:r>
    </w:p>
    <w:p>
      <w:r>
        <w:rPr>
          <w:color w:val="555555"/>
          <w:sz w:val="18"/>
        </w:rPr>
        <w:t xml:space="preserve">Qualifizierungsordnung Justizwachtmeisterdienst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Bei Menschen mit Behinderungen sind die Anforderungen des § 155 Absatz 2 des Neunten Buches Sozialgesetzbuch vom 23. Dezember 2016 (BGBl. I S. 3234), das zuletzt durch Artikel 6 des Gesetzes vom 22. Dezember 2023 (BGBl. 2023 I Nr. 412) geändert worden ist, die Schwerbehindertenrichtlinie vom 16. März 2022 (ABl. S. 326) sowie das Brandenburgische Behindertengleichstellungsgesetz vom 11. Februar 2013 (GVBl. I Nr. 5), das zuletzt durch Artikel 2 des Gesetzes vom 20. Juni 2024 (GVBl. I Nr. 25 S. 5) geändert worden ist, in der jeweils geltenden Fassung zu beachten.</w:t>
      </w:r>
    </w:p>
    <w:p>
      <w:r>
        <w:rPr>
          <w:color w:val="555555"/>
          <w:sz w:val="17"/>
        </w:rPr>
        <w:t xml:space="preserve">Zitiervorschlag: § 27 QuOJWDBbg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https://recht.nulegal.eu/gesetze/QuOJWDBbg/27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