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QVWSG — Aufgabe des Statistischen Bundesamtes</w:t>
      </w:r>
    </w:p>
    <w:p>
      <w:r>
        <w:rPr>
          <w:color w:val="555555"/>
          <w:sz w:val="18"/>
        </w:rPr>
        <w:t xml:space="preserve">Qualität-VGR und WS-Gesetz</w:t>
      </w:r>
    </w:p>
    <w:p>
      <w:r>
        <w:rPr>
          <w:color w:val="555555"/>
          <w:sz w:val="18"/>
        </w:rPr>
        <w:t xml:space="preserve">Stand: 18.06.2021 (konsolidierte Textfassung, kein amtliches Inkrafttretensdatum)</w:t>
      </w:r>
    </w:p>
    <w:p>
      <w:r>
        <w:t xml:space="preserve">Das Statistische Bundesamt hat die Aufgabe, in Zusammenarbeit mit den statistischen Ämtern der Länder und der Deutschen Bundesbank die Daten von multinationalen Unternehmensgruppen zu prüfen, um in seinem Zuständigkeitsbereich die Qualität in den Volkswirtschaftlichen Gesamtrechnungen und den Wirtschaftsstatistiken zu sichern.</w:t>
      </w:r>
    </w:p>
    <w:p>
      <w:r>
        <w:rPr>
          <w:color w:val="555555"/>
          <w:sz w:val="17"/>
        </w:rPr>
        <w:t xml:space="preserve">Zitiervorschlag: § 1 QVWSG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https://recht.nulegal.eu/gesetze/QVWSG/1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