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7 QNormBanV — Zuständige Verwaltungsbehörde</w:t>
      </w:r>
    </w:p>
    <w:p>
      <w:r>
        <w:rPr>
          <w:color w:val="555555"/>
          <w:sz w:val="18"/>
        </w:rPr>
        <w:t xml:space="preserve">Verordnung über Qualitätsnormen für Bananen</w:t>
      </w:r>
    </w:p>
    <w:p>
      <w:r>
        <w:rPr>
          <w:color w:val="555555"/>
          <w:sz w:val="18"/>
        </w:rPr>
        <w:t xml:space="preserve">Historische Fassung: Stand 10.06.2019 bis 01.01.2025. Dies ist nicht die aktuelle Fassung.</w:t>
      </w:r>
    </w:p>
    <w:p>
      <w:r>
        <w:t xml:space="preserve">Die Zuständigkeit für die Verfolgung und Ahndung von Ordnungswidrigkeiten nach § 6 wird auf die Bundesanstalt übertragen, soweit sie nach § 5 des Handelsklassengesetzes für die Überwachung der Einhaltung der Qualitätsnormen für Bananen zuständig ist.</w:t>
      </w:r>
    </w:p>
    <w:p>
      <w:r>
        <w:rPr>
          <w:color w:val="555555"/>
          <w:sz w:val="17"/>
        </w:rPr>
        <w:t xml:space="preserve">Zitiervorschlag: § 7 QNormBanV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https://recht.nulegal.eu/gesetze/QNormBanV/7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