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QEWV</w:t>
      </w:r>
    </w:p>
    <w:p>
      <w:r>
        <w:rPr>
          <w:color w:val="555555"/>
          <w:sz w:val="18"/>
        </w:rPr>
        <w:t xml:space="preserve">Verordnung zu qualifizierten Einrichtungen und qualifizierten Wirtschaftsverbänden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4d des Unterlassungsklagengesetzes, der durch Artikel 2 Nummer 3 des Gesetzes vom 26. November 2020 (BGBl. I S. 2568) eingefügt worden ist, sowie</w:t>
      </w:r>
    </w:p>
    <w:p>
      <w:pPr>
        <w:ind w:left="420"/>
      </w:pPr>
      <w:r>
        <w:t xml:space="preserve">– des § 8b Absatz 3 des Gesetzes gegen den unlauteren Wettbewerb und des § 4d des Unterlassungsklagengesetzes, von denen § 8b Absatz 3 des Gesetzes gegen den unlauteren Wettbewerb durch Artikel 1 Nummer 2 und § 4d des Unterlassungsklagengesetzes durch Artikel 2 Nummer 3 des Gesetzes vom 26. November 2020 (BGBl. I S. 2568) eingefügt worden sind,</w:t>
      </w:r>
    </w:p>
    <w:p>
      <w:r>
        <w:t xml:space="preserve">verordnet das Bundesministerium der Justiz und für Verbraucherschutz:</w:t>
      </w:r>
    </w:p>
    <w:p>
      <w:r>
        <w:rPr>
          <w:color w:val="555555"/>
          <w:sz w:val="17"/>
        </w:rPr>
        <w:t xml:space="preserve">Zitiervorschlag: Eingangsformel QEWV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https://recht.nulegal.eu/gesetze/QEWV/eingangsformel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