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QEWV — Aufhebung der Eintragung in der Liste der qualifizierten Verbraucherverbände auf Antrag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Der Antrag nach § 4c Absatz 1 Nummer 1 des Unterlassungsklagengesetzes auf Aufhebung der Eintragung in der Liste ist vom qualifizierten Verbraucherverband schriftlich zu stellen.</w:t>
      </w:r>
    </w:p>
    <w:p>
      <w:r>
        <w:t xml:space="preserve">(2) Das Bundesamt für Justiz hat die Eintragung in der Liste unverzüglich nach Eingang des Antrags des qualifizierten Verbraucherverbands durch Bescheid aufzuheben. Der Bescheid ist dem qualifizierten Verbraucherverband zuzustellen.</w:t>
      </w:r>
    </w:p>
    <w:p>
      <w:r>
        <w:t xml:space="preserve">(3) Das Bundesamt für Justiz veröffentlicht unverzüglich nach dem Wirksamwerden des Bescheids eine aktualisierte Liste der qualifizierten Verbraucherverbände.</w:t>
      </w:r>
    </w:p>
    <w:p>
      <w:r>
        <w:rPr>
          <w:color w:val="555555"/>
          <w:sz w:val="17"/>
        </w:rPr>
        <w:t xml:space="preserve">Zitiervorschlag: § 8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