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QEWV — Mitteilungspflichten der qualifizierten Verbraucherverbände</w:t>
      </w:r>
    </w:p>
    <w:p>
      <w:r>
        <w:rPr>
          <w:color w:val="555555"/>
          <w:sz w:val="18"/>
        </w:rPr>
        <w:t xml:space="preserve">Verordnung zu qualifizierten Einrichtungen und qualifizierten Wirtschaftsverbänden</w:t>
      </w:r>
    </w:p>
    <w:p>
      <w:r>
        <w:rPr>
          <w:color w:val="555555"/>
          <w:sz w:val="18"/>
        </w:rPr>
        <w:t xml:space="preserve">Stand: 14.10.2023 (konsolidierte Textfassung, kein amtliches Inkrafttretensdatum)</w:t>
      </w:r>
    </w:p>
    <w:p>
      <w:r>
        <w:t xml:space="preserve">(1) Ein qualifizierter Verbraucherverband hat dem Bundesamt für Justiz unverzüglich Folgendes mitzuteilen:</w:t>
      </w:r>
    </w:p>
    <w:p>
      <w:pPr>
        <w:ind w:left="420"/>
      </w:pPr>
      <w:r>
        <w:t xml:space="preserve">1. jede Änderung seiner Angaben, die nach § 4 Absatz 3 Satz 2 des Unterlassungsklagengesetzes in der Liste der qualifizierten Verbraucherverbände eingetragen sind, und</w:t>
      </w:r>
    </w:p>
    <w:p>
      <w:pPr>
        <w:ind w:left="420"/>
      </w:pPr>
      <w:r>
        <w:t xml:space="preserve">2. den Wegfall einer Voraussetzung nach § 4 Absatz 2 des Unterlassungsklagengesetzes für seine Eintragung in der Liste der qualifizierten Verbraucherverbände.</w:t>
      </w:r>
    </w:p>
    <w:p>
      <w:r>
        <w:t xml:space="preserve">(2) Jeweils zum 30. Juni eines Jahres hat ein qualifizierter Verbraucherverband, der nicht unter § 4 Absatz 2 Satz 2 des Unterlassungsklagengesetzes fällt, beim Bundesamt für Justiz eine den Anforderungen des § 2 Absatz 1 entsprechende Liste der Personen und Verbände einzureichen, die zum 31. Dezember des vorangegangenen Jahres Mitglieder des qualifizierten Verbraucherverbands waren. Entspricht die letzte eingereichte Mitgliederliste weiterhin den Anforderungen nach Satz 1, kann auf diese Mitgliederliste verwiesen werden. Hat das Bundesamt für Justiz Zweifel an der Richtigkeit oder Aktualität der eingereichten oder vorhandenen Liste, auf die verwiesen wurde, ist § 2 Absatz 2 entsprechend anzuwenden.</w:t>
      </w:r>
    </w:p>
    <w:p>
      <w:r>
        <w:rPr>
          <w:color w:val="555555"/>
          <w:sz w:val="17"/>
        </w:rPr>
        <w:t xml:space="preserve">Zitiervorschlag: § 7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