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QEWV — Ordnungswidrigkeiten</w:t>
      </w:r>
    </w:p>
    <w:p>
      <w:r>
        <w:rPr>
          <w:color w:val="555555"/>
          <w:sz w:val="18"/>
        </w:rPr>
        <w:t xml:space="preserve">Verordnung zu qualifizierten Einrichtungen und qualifizierten Wirtschaftsverbänden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(1) Ordnungswidrig im Sinne des § 16 Absatz 1 Nummer 2 des Unterlassungsklagengesetzes handelt, wer vorsätzlich oder fahrlässig einer vollziehbaren Anordnung nach § 9 Absatz 2 Satz 1, auch in Verbindung mit Satz 2, § 9 Absatz 3 oder § 21 Absatz 2 zuwiderhandelt.</w:t>
      </w:r>
    </w:p>
    <w:p>
      <w:r>
        <w:t xml:space="preserve">(2) Ordnungswidrig im Sinne des § 20 Absatz 1 Nummer 5 des Gesetzes gegen den unlauteren Wettbewerb handelt, wer vorsätzlich oder fahrlässig einer vollziehbaren Anordnung nach § 17 Absatz 2 zuwiderhandelt.</w:t>
      </w:r>
    </w:p>
    <w:p>
      <w:r>
        <w:rPr>
          <w:color w:val="555555"/>
          <w:sz w:val="17"/>
        </w:rPr>
        <w:t xml:space="preserve">Zitiervorschlag: § 24 QEWV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https://recht.nulegal.eu/gesetze/QEWV/24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