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23 QEWV — Nachfrist zur Erfüllung der Berichtspflichten</w:t>
      </w:r>
    </w:p>
    <w:p>
      <w:r>
        <w:rPr>
          <w:color w:val="555555"/>
          <w:sz w:val="18"/>
        </w:rPr>
        <w:t xml:space="preserve">Verordnung zu qualifizierten Einrichtungen und qualifizierten Wirtschaftsverbänden</w:t>
      </w:r>
    </w:p>
    <w:p>
      <w:r>
        <w:rPr>
          <w:color w:val="555555"/>
          <w:sz w:val="18"/>
        </w:rPr>
        <w:t xml:space="preserve">Stand: 14.10.2023 (konsolidierte Textfassung, kein amtliches Inkrafttretensdatum)</w:t>
      </w:r>
    </w:p>
    <w:p>
      <w:r>
        <w:t xml:space="preserve">Wenn qualifizierte Einrichtungen ihre Berichtspflichten nach § 4b Absatz 1 des Unterlassungsklagengesetzes oder qualifizierte Wirtschaftsverbände ihre Berichtspflichten nach § 8b Absatz 3 des Gesetzes gegen den unlauteren Wettbewerb in Verbindung mit § 4b Absatz 1 des Unterlassungsklagengesetzes innerhalb der gesetzlichen Frist nicht oder nur teilweise erfüllen, so hat das Bundesamt für Justiz die qualifizierten Einrichtungen oder die qualifizierten Wirtschaftsverbände unverzüglich aufzufordern, die Berichtspflichten innerhalb einer angemessenen Nachfrist zu erfüllen.</w:t>
      </w:r>
    </w:p>
    <w:p>
      <w:r>
        <w:rPr>
          <w:color w:val="555555"/>
          <w:sz w:val="17"/>
        </w:rPr>
        <w:t xml:space="preserve">Zitiervorschlag: § 23 QEWV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https://recht.nulegal.eu/gesetze/QEWV/23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