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QEWV — Überprüfung einer Eintragung in der Liste der qualifizierten Einrichtungen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Das Bundesamt für Justiz leitet nach § 4e des Unterlassungsklagengesetzes ein Verfahren zur Überprüfung der Eintragung in der Liste der qualifizierten Einrichtungen für grenzüberschreitende Verbandsklagen unverzüglich ein, wenn die Voraussetzungen für eine Überprüfung nach § 4e Absatz 1 oder Absatz 2 vorliegen.</w:t>
      </w:r>
    </w:p>
    <w:p>
      <w:r>
        <w:t xml:space="preserve">(2) Im Verfahren zur Überprüfung der Eintragung kann das Bundesamt für Justiz von der qualifizierten Einrichtung Folgendes verlangen:</w:t>
      </w:r>
    </w:p>
    <w:p>
      <w:pPr>
        <w:ind w:left="420"/>
      </w:pPr>
      <w:r>
        <w:t xml:space="preserve">1. die für die Überprüfung der Eintragungsvoraussetzungen erforderlichen Angaben und Nachweise nach § 18 Absatz 1 Satz 2 und Absatz 2 und 3 sowie</w:t>
      </w:r>
    </w:p>
    <w:p>
      <w:pPr>
        <w:ind w:left="420"/>
      </w:pPr>
      <w:r>
        <w:t xml:space="preserve">2. eine Übersicht über die erhobenen Verbandsklagen nach dem Verbraucherrechtedurchsetzungsgesetz, aus der auch der Verfahrensstand oder die Art der Beendigung des Verfahrens hervorgeht.</w:t>
      </w:r>
    </w:p>
    <w:p>
      <w:r>
        <w:t xml:space="preserve">(3) Die Angaben und Nachweise nach Absatz 2 sind innerhalb eines Monats nach Aufforderung durch das Bundesamt für Justiz vorzulegen. Auf Antrag kann das Bundesamt für Justiz die Frist verlängern.</w:t>
      </w:r>
    </w:p>
    <w:p>
      <w:r>
        <w:rPr>
          <w:color w:val="555555"/>
          <w:sz w:val="17"/>
        </w:rPr>
        <w:t xml:space="preserve">Zitiervorschlag: § 21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