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QEWV — Aufhebung der Eintragung in der Liste der qualifizierten Einrichtungen auf Antrag</w:t>
      </w:r>
    </w:p>
    <w:p>
      <w:r>
        <w:rPr>
          <w:color w:val="555555"/>
          <w:sz w:val="18"/>
        </w:rPr>
        <w:t xml:space="preserve">Verordnung zu qualifizierten Einrichtungen und qualifizierten Wirtschaftsverbänden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Für das Verfahren der Aufhebung einer Eintragung in der Liste der qualifizierten Einrichtungen für grenzüberschreitende Verbandsklagen auf einen Antrag nach § 4e Absatz 1 oder § 4c Absatz 1 Nummer 1 des Unterlassungsklagengesetzes ist § 8 entsprechend anzuwenden.</w:t>
      </w:r>
    </w:p>
    <w:p>
      <w:r>
        <w:rPr>
          <w:color w:val="555555"/>
          <w:sz w:val="17"/>
        </w:rPr>
        <w:t xml:space="preserve">Zitiervorschlag: § 20 QEWV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https://recht.nulegal.eu/gesetze/QEWV/20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