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QEWV — Mitteilungspflichten der qualifizierten Einrichtungen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Die qualifizierten Einrichtungen haben dem Bundesamt für Justiz unverzüglich Folgendes mitzuteilen:</w:t>
      </w:r>
    </w:p>
    <w:p>
      <w:pPr>
        <w:ind w:left="420"/>
      </w:pPr>
      <w:r>
        <w:t xml:space="preserve">1. jede Änderung ihrer Angaben, die nach § 4d Absatz 3 Satz 2 des Unterlassungsklagengesetzes in der Liste der qualifizierten Einrichtungen für grenzüberschreitende Verbandsklagen eingetragen sind und</w:t>
      </w:r>
    </w:p>
    <w:p>
      <w:pPr>
        <w:ind w:left="420"/>
      </w:pPr>
      <w:r>
        <w:t xml:space="preserve">2. den Wegfall einer der in § 4d Absatz 2 des Unterlassungsklagengesetzes geregelten Voraussetzungen für die Eintragung in die Liste der qualifizierten Einrichtungen für grenzüberschreitende Verbandsklagen.</w:t>
      </w:r>
    </w:p>
    <w:p>
      <w:r>
        <w:rPr>
          <w:color w:val="555555"/>
          <w:sz w:val="17"/>
        </w:rPr>
        <w:t xml:space="preserve">Zitiervorschlag: § 19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